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B" w:rsidRPr="00F5115C" w:rsidRDefault="00CE322B" w:rsidP="00F2561A">
      <w:pPr>
        <w:pStyle w:val="Title"/>
        <w:pBdr>
          <w:bottom w:val="single" w:sz="4" w:space="1" w:color="auto"/>
        </w:pBdr>
        <w:rPr>
          <w:sz w:val="42"/>
        </w:rPr>
      </w:pPr>
      <w:r w:rsidRPr="00F5115C">
        <w:rPr>
          <w:sz w:val="42"/>
        </w:rPr>
        <w:t xml:space="preserve">Pollution Incident Response </w:t>
      </w:r>
      <w:r w:rsidR="00F5115C" w:rsidRPr="00F5115C">
        <w:rPr>
          <w:sz w:val="42"/>
        </w:rPr>
        <w:t xml:space="preserve">Management </w:t>
      </w:r>
      <w:r w:rsidRPr="00F5115C">
        <w:rPr>
          <w:sz w:val="42"/>
        </w:rPr>
        <w:t>Plan (PRIMP)</w:t>
      </w:r>
    </w:p>
    <w:p w:rsidR="00CE322B" w:rsidRDefault="0048274E" w:rsidP="00F2561A">
      <w:pPr>
        <w:pStyle w:val="Subtitle"/>
        <w:jc w:val="center"/>
      </w:pPr>
      <w:r>
        <w:t>Condobolin Feedlot Site</w:t>
      </w:r>
    </w:p>
    <w:p w:rsidR="00CE322B" w:rsidRDefault="00CE322B" w:rsidP="00CE322B">
      <w:pPr>
        <w:jc w:val="center"/>
      </w:pPr>
    </w:p>
    <w:p w:rsidR="00CE322B" w:rsidRDefault="00C737DD" w:rsidP="00F2561A">
      <w:pPr>
        <w:pStyle w:val="Heading2"/>
      </w:pPr>
      <w:r>
        <w:t>OBJECTIVE</w:t>
      </w:r>
    </w:p>
    <w:p w:rsidR="00C737DD" w:rsidRDefault="00C737DD" w:rsidP="00C737DD">
      <w:pPr>
        <w:spacing w:after="0" w:line="276" w:lineRule="auto"/>
        <w:jc w:val="both"/>
      </w:pPr>
    </w:p>
    <w:p w:rsidR="009573CB" w:rsidRDefault="00CE322B" w:rsidP="00C737DD">
      <w:pPr>
        <w:spacing w:after="0" w:line="276" w:lineRule="auto"/>
        <w:jc w:val="both"/>
      </w:pPr>
      <w:r>
        <w:t>For Fletcher to understand and meet its obligations under the Legislation Sec 153</w:t>
      </w:r>
      <w:r w:rsidR="00916713">
        <w:t xml:space="preserve"> </w:t>
      </w:r>
      <w:r>
        <w:t>A of the Protection of the Environment</w:t>
      </w:r>
      <w:r w:rsidR="009573CB">
        <w:t xml:space="preserve"> Operations</w:t>
      </w:r>
      <w:r>
        <w:t xml:space="preserve"> Act 1997</w:t>
      </w:r>
      <w:r w:rsidR="000834B4">
        <w:t xml:space="preserve"> (POEO Act 1997)</w:t>
      </w:r>
    </w:p>
    <w:p w:rsidR="00F2561A" w:rsidRDefault="00F2561A" w:rsidP="00C737DD">
      <w:pPr>
        <w:spacing w:after="0" w:line="276" w:lineRule="auto"/>
        <w:jc w:val="both"/>
      </w:pPr>
    </w:p>
    <w:p w:rsidR="009573CB" w:rsidRDefault="009573CB" w:rsidP="00C737DD">
      <w:pPr>
        <w:spacing w:after="0" w:line="276" w:lineRule="auto"/>
        <w:jc w:val="both"/>
      </w:pPr>
      <w:r>
        <w:t xml:space="preserve">By Maintaining, Operating and Testing this Pollution Incident Response Plan (PRIMP) Fletcher will </w:t>
      </w:r>
      <w:r w:rsidR="00332153">
        <w:t>achieve its Legal obligations</w:t>
      </w:r>
      <w:r w:rsidR="0080223D">
        <w:t xml:space="preserve"> and minimise any pollution incident. The PRIMP works hand in hand with the Environmental Management Plan (EMP) and the Work Health and Safety Management System (WHSMS)</w:t>
      </w:r>
    </w:p>
    <w:p w:rsidR="00332153" w:rsidRDefault="00332153" w:rsidP="009573CB"/>
    <w:p w:rsidR="00C737DD" w:rsidRDefault="00C737DD" w:rsidP="009573CB"/>
    <w:p w:rsidR="00332153" w:rsidRDefault="00C737DD" w:rsidP="00F2561A">
      <w:pPr>
        <w:pStyle w:val="Heading2"/>
      </w:pPr>
      <w:r>
        <w:t>PROCEDURES</w:t>
      </w:r>
    </w:p>
    <w:p w:rsidR="00C737DD" w:rsidRDefault="00C737DD" w:rsidP="00C737DD">
      <w:pPr>
        <w:spacing w:after="0" w:line="276" w:lineRule="auto"/>
        <w:jc w:val="both"/>
      </w:pPr>
    </w:p>
    <w:p w:rsidR="009573CB" w:rsidRDefault="009573CB" w:rsidP="00C737DD">
      <w:pPr>
        <w:spacing w:after="0" w:line="276" w:lineRule="auto"/>
        <w:jc w:val="both"/>
      </w:pPr>
      <w:r>
        <w:t>M</w:t>
      </w:r>
      <w:r w:rsidR="0080223D">
        <w:t>inimise the risk of creating</w:t>
      </w:r>
      <w:r w:rsidR="00332153">
        <w:t xml:space="preserve"> a P</w:t>
      </w:r>
      <w:r>
        <w:t>ollution Risk or Incident by</w:t>
      </w:r>
    </w:p>
    <w:p w:rsidR="009573CB" w:rsidRDefault="009573CB" w:rsidP="00C737D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Identifying risks</w:t>
      </w:r>
    </w:p>
    <w:p w:rsidR="009573CB" w:rsidRDefault="009573CB" w:rsidP="00C737D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Identifying actions to minimise and manage the risks</w:t>
      </w:r>
    </w:p>
    <w:p w:rsidR="00C737DD" w:rsidRDefault="00C737DD" w:rsidP="00C737DD">
      <w:pPr>
        <w:spacing w:after="0" w:line="276" w:lineRule="auto"/>
        <w:jc w:val="both"/>
      </w:pPr>
    </w:p>
    <w:p w:rsidR="00332153" w:rsidRDefault="00332153" w:rsidP="00C737DD">
      <w:pPr>
        <w:spacing w:after="0" w:line="276" w:lineRule="auto"/>
        <w:jc w:val="both"/>
      </w:pPr>
      <w:r>
        <w:t xml:space="preserve">Have clear and effective notification, action and </w:t>
      </w:r>
      <w:r w:rsidR="000834B4">
        <w:t xml:space="preserve">timely </w:t>
      </w:r>
      <w:r>
        <w:t>communication to</w:t>
      </w:r>
    </w:p>
    <w:p w:rsidR="00332153" w:rsidRDefault="00332153" w:rsidP="00C737DD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Notify the correct people</w:t>
      </w:r>
    </w:p>
    <w:p w:rsidR="00332153" w:rsidRDefault="00332153" w:rsidP="00C737DD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Warn the correct people</w:t>
      </w:r>
    </w:p>
    <w:p w:rsidR="00332153" w:rsidRDefault="00332153" w:rsidP="00C737DD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 xml:space="preserve">Provide updates </w:t>
      </w:r>
    </w:p>
    <w:p w:rsidR="00332153" w:rsidRDefault="00332153" w:rsidP="00C737DD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Have correctly trained Staff</w:t>
      </w:r>
    </w:p>
    <w:p w:rsidR="00332153" w:rsidRDefault="00332153" w:rsidP="00C737DD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Have the correct incident management information</w:t>
      </w:r>
    </w:p>
    <w:p w:rsidR="0080223D" w:rsidRDefault="0080223D" w:rsidP="00C737DD">
      <w:pPr>
        <w:spacing w:after="0" w:line="276" w:lineRule="auto"/>
        <w:jc w:val="both"/>
      </w:pPr>
    </w:p>
    <w:p w:rsidR="00322B61" w:rsidRDefault="0080223D" w:rsidP="00C737DD">
      <w:pPr>
        <w:spacing w:after="0" w:line="276" w:lineRule="auto"/>
        <w:jc w:val="both"/>
      </w:pPr>
      <w:r>
        <w:t>Water, Air, Noise and Land Pollution can be caused by activities that FIE carryout and are managed by the EMP</w:t>
      </w:r>
      <w:r w:rsidR="00322B61">
        <w:t xml:space="preserve"> and WHSMS. </w:t>
      </w:r>
      <w:r w:rsidR="00D90DFD">
        <w:t>(</w:t>
      </w:r>
      <w:r w:rsidR="00322B61">
        <w:t xml:space="preserve">This PRIMP will focus mainly on accidental or uncontrolled issues or emergency </w:t>
      </w:r>
      <w:r w:rsidR="008C1082">
        <w:t>situation in relation to pollution)</w:t>
      </w:r>
      <w:r w:rsidR="00C737DD">
        <w:t>.</w:t>
      </w:r>
    </w:p>
    <w:p w:rsidR="00C737DD" w:rsidRDefault="00C737DD" w:rsidP="00C737DD">
      <w:pPr>
        <w:spacing w:after="0" w:line="276" w:lineRule="auto"/>
        <w:jc w:val="both"/>
      </w:pPr>
    </w:p>
    <w:p w:rsidR="008C1082" w:rsidRDefault="00322B61" w:rsidP="00C737DD">
      <w:pPr>
        <w:spacing w:after="0" w:line="276" w:lineRule="auto"/>
        <w:jc w:val="both"/>
      </w:pPr>
      <w:r>
        <w:t xml:space="preserve">A pollution incident is an </w:t>
      </w:r>
      <w:r w:rsidR="00946007">
        <w:t>incident</w:t>
      </w:r>
      <w:r>
        <w:t xml:space="preserve"> or set of cir</w:t>
      </w:r>
      <w:r w:rsidR="00946007">
        <w:t xml:space="preserve">cumstances </w:t>
      </w:r>
      <w:r w:rsidR="000834B4">
        <w:t xml:space="preserve">during or as a consequence of which there is likely </w:t>
      </w:r>
      <w:r w:rsidR="008C1082">
        <w:t xml:space="preserve">to </w:t>
      </w:r>
      <w:r w:rsidR="000834B4">
        <w:t xml:space="preserve">be a leak, spill or other escape or deposit of a substance, as a result of which pollution has occurred, is occurring or is likely to occur. </w:t>
      </w:r>
    </w:p>
    <w:p w:rsidR="00C737DD" w:rsidRDefault="00C737DD" w:rsidP="00C737DD">
      <w:pPr>
        <w:spacing w:after="0" w:line="276" w:lineRule="auto"/>
        <w:jc w:val="both"/>
      </w:pPr>
    </w:p>
    <w:p w:rsidR="00322B61" w:rsidRDefault="000834B4" w:rsidP="00C737DD">
      <w:pPr>
        <w:spacing w:after="0" w:line="276" w:lineRule="auto"/>
        <w:jc w:val="both"/>
      </w:pPr>
      <w:r>
        <w:t xml:space="preserve">It includes an incident or set of circumstances in which a substance has been placed or disposed of on the premises, but it does not include an incident or set of </w:t>
      </w:r>
      <w:r w:rsidR="00D90DFD">
        <w:t>circumstances</w:t>
      </w:r>
      <w:r>
        <w:t xml:space="preserve"> involving only the emission of any noise.</w:t>
      </w:r>
    </w:p>
    <w:p w:rsidR="00D90DFD" w:rsidRDefault="00D90DFD" w:rsidP="0080223D"/>
    <w:p w:rsidR="00D90DFD" w:rsidRDefault="00D90DFD" w:rsidP="00D90DFD"/>
    <w:p w:rsidR="00C737DD" w:rsidRDefault="00C737DD" w:rsidP="00F2561A">
      <w:pPr>
        <w:pStyle w:val="Heading2"/>
      </w:pPr>
    </w:p>
    <w:p w:rsidR="00D90DFD" w:rsidRDefault="00C737DD" w:rsidP="00F2561A">
      <w:pPr>
        <w:pStyle w:val="Heading2"/>
      </w:pPr>
      <w:r>
        <w:t xml:space="preserve">NOTIFICATION </w:t>
      </w:r>
    </w:p>
    <w:p w:rsidR="00C737DD" w:rsidRDefault="00C737DD" w:rsidP="00C737DD">
      <w:pPr>
        <w:spacing w:after="0" w:line="276" w:lineRule="auto"/>
        <w:jc w:val="both"/>
      </w:pPr>
    </w:p>
    <w:p w:rsidR="00C737DD" w:rsidRDefault="008A4157" w:rsidP="00C737DD">
      <w:pPr>
        <w:spacing w:after="0" w:line="276" w:lineRule="auto"/>
        <w:jc w:val="both"/>
      </w:pPr>
      <w:r>
        <w:t>A pollution incident is required to be reported to the EPA if there is a risk of ‘material harm to the environment’, which</w:t>
      </w:r>
      <w:r w:rsidR="00C352DF">
        <w:t xml:space="preserve"> </w:t>
      </w:r>
      <w:r>
        <w:t>is defined in section 147 of the POEO Act 1997</w:t>
      </w:r>
    </w:p>
    <w:p w:rsidR="008A4157" w:rsidRDefault="00C352DF" w:rsidP="00C737DD">
      <w:pPr>
        <w:pStyle w:val="ListParagraph"/>
        <w:numPr>
          <w:ilvl w:val="0"/>
          <w:numId w:val="9"/>
        </w:numPr>
        <w:spacing w:after="0" w:line="276" w:lineRule="auto"/>
        <w:jc w:val="both"/>
      </w:pPr>
      <w:r>
        <w:t>Harm</w:t>
      </w:r>
      <w:r w:rsidR="008A4157">
        <w:t xml:space="preserve"> to the environment is material if</w:t>
      </w:r>
    </w:p>
    <w:p w:rsidR="008A4157" w:rsidRDefault="008A4157" w:rsidP="00C737DD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 xml:space="preserve">It involves actual or potential harm to the health or safety </w:t>
      </w:r>
      <w:r w:rsidR="008C1082">
        <w:t>of</w:t>
      </w:r>
      <w:r>
        <w:t xml:space="preserve"> </w:t>
      </w:r>
      <w:r w:rsidR="00C352DF">
        <w:t>human beings</w:t>
      </w:r>
      <w:r>
        <w:t xml:space="preserve"> or</w:t>
      </w:r>
      <w:r w:rsidR="00C352DF">
        <w:t xml:space="preserve"> </w:t>
      </w:r>
      <w:r>
        <w:t>to ecosystems that is not trivial, or</w:t>
      </w:r>
    </w:p>
    <w:p w:rsidR="008A4157" w:rsidRDefault="00C352DF" w:rsidP="00C737DD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>It results in actual or potential loss or property damage of an amount, or amounts in aggregate, exceeding $10,000 and</w:t>
      </w:r>
    </w:p>
    <w:p w:rsidR="00F2561A" w:rsidRDefault="00C352DF" w:rsidP="00C737DD">
      <w:pPr>
        <w:pStyle w:val="ListParagraph"/>
        <w:numPr>
          <w:ilvl w:val="0"/>
          <w:numId w:val="9"/>
        </w:numPr>
        <w:spacing w:after="0" w:line="276" w:lineRule="auto"/>
        <w:jc w:val="both"/>
      </w:pPr>
      <w:r>
        <w:t>Loss includes the reasonable costs and expenses that would be incurred in taking all reasonable and practicable measures to prevent, mitigate or make good harm to the environment.</w:t>
      </w:r>
    </w:p>
    <w:p w:rsidR="00F2561A" w:rsidRPr="00C352DF" w:rsidRDefault="00F2561A" w:rsidP="00C737DD">
      <w:pPr>
        <w:spacing w:after="0" w:line="276" w:lineRule="auto"/>
        <w:ind w:left="360"/>
        <w:jc w:val="both"/>
      </w:pPr>
    </w:p>
    <w:p w:rsidR="00934E51" w:rsidRPr="006A55C7" w:rsidRDefault="00AE5E5D" w:rsidP="003C49A2">
      <w:pPr>
        <w:pStyle w:val="ListParagraph"/>
        <w:numPr>
          <w:ilvl w:val="0"/>
          <w:numId w:val="11"/>
        </w:numPr>
        <w:spacing w:after="0" w:line="276" w:lineRule="auto"/>
        <w:jc w:val="both"/>
      </w:pPr>
      <w:r w:rsidRPr="006A55C7">
        <w:t xml:space="preserve">Notify </w:t>
      </w:r>
      <w:r w:rsidR="00934E51" w:rsidRPr="006A55C7">
        <w:t>M</w:t>
      </w:r>
      <w:r w:rsidRPr="006A55C7">
        <w:t>anagement (internal contact list on page 3)</w:t>
      </w:r>
    </w:p>
    <w:p w:rsidR="00C737DD" w:rsidRDefault="00C737DD" w:rsidP="00C737DD">
      <w:pPr>
        <w:pStyle w:val="ListParagraph"/>
        <w:spacing w:after="0" w:line="276" w:lineRule="auto"/>
        <w:jc w:val="both"/>
      </w:pPr>
    </w:p>
    <w:p w:rsidR="00F2561A" w:rsidRPr="006A55C7" w:rsidRDefault="00AE5E5D" w:rsidP="00C737DD">
      <w:pPr>
        <w:pStyle w:val="ListParagraph"/>
        <w:numPr>
          <w:ilvl w:val="0"/>
          <w:numId w:val="11"/>
        </w:numPr>
        <w:spacing w:after="0" w:line="276" w:lineRule="auto"/>
        <w:jc w:val="both"/>
      </w:pPr>
      <w:r w:rsidRPr="006A55C7">
        <w:t>Management will ensure t</w:t>
      </w:r>
      <w:r w:rsidR="008C1082" w:rsidRPr="006A55C7">
        <w:t>he</w:t>
      </w:r>
      <w:r w:rsidR="00C352DF" w:rsidRPr="006A55C7">
        <w:t xml:space="preserve"> </w:t>
      </w:r>
      <w:r w:rsidR="008A4157" w:rsidRPr="006A55C7">
        <w:t>EPA</w:t>
      </w:r>
      <w:r w:rsidR="002C4931" w:rsidRPr="006A55C7">
        <w:t xml:space="preserve"> will </w:t>
      </w:r>
      <w:r w:rsidRPr="006A55C7">
        <w:t>is</w:t>
      </w:r>
      <w:r w:rsidR="002C4931" w:rsidRPr="006A55C7">
        <w:t xml:space="preserve"> notified</w:t>
      </w:r>
      <w:r w:rsidR="008A4157" w:rsidRPr="006A55C7">
        <w:t xml:space="preserve"> on the </w:t>
      </w:r>
      <w:r w:rsidR="00934E51" w:rsidRPr="006A55C7">
        <w:t>i</w:t>
      </w:r>
      <w:r w:rsidR="008A4157" w:rsidRPr="006A55C7">
        <w:t>mmediately</w:t>
      </w:r>
      <w:r w:rsidR="00934E51" w:rsidRPr="006A55C7">
        <w:t xml:space="preserve"> via the</w:t>
      </w:r>
      <w:r w:rsidR="00F2561A" w:rsidRPr="006A55C7">
        <w:t xml:space="preserve"> </w:t>
      </w:r>
    </w:p>
    <w:p w:rsidR="00F2561A" w:rsidRDefault="00934E51" w:rsidP="00C737DD">
      <w:pPr>
        <w:pStyle w:val="IntenseQuote"/>
      </w:pPr>
      <w:r w:rsidRPr="00F2561A">
        <w:t>EPA Hotline:</w:t>
      </w:r>
      <w:r w:rsidRPr="00F2561A">
        <w:tab/>
        <w:t xml:space="preserve"> 131 555</w:t>
      </w:r>
    </w:p>
    <w:p w:rsidR="00934E51" w:rsidRDefault="00934E51" w:rsidP="00C737DD">
      <w:pPr>
        <w:pStyle w:val="ListParagraph"/>
        <w:spacing w:after="0" w:line="276" w:lineRule="auto"/>
        <w:jc w:val="both"/>
        <w:rPr>
          <w:i/>
        </w:rPr>
      </w:pPr>
      <w:r w:rsidRPr="00934E51">
        <w:rPr>
          <w:i/>
        </w:rPr>
        <w:t>Promptly without delay</w:t>
      </w:r>
      <w:r w:rsidR="00F2561A">
        <w:rPr>
          <w:i/>
        </w:rPr>
        <w:t>,</w:t>
      </w:r>
      <w:r w:rsidR="008A4157">
        <w:t xml:space="preserve"> </w:t>
      </w:r>
      <w:r w:rsidR="008A4157" w:rsidRPr="00934E51">
        <w:rPr>
          <w:i/>
        </w:rPr>
        <w:t xml:space="preserve">but not ahead of doing what is necessary to make </w:t>
      </w:r>
      <w:r w:rsidR="008C1082" w:rsidRPr="00934E51">
        <w:rPr>
          <w:i/>
        </w:rPr>
        <w:t xml:space="preserve">the situation </w:t>
      </w:r>
      <w:r w:rsidR="008A4157" w:rsidRPr="00934E51">
        <w:rPr>
          <w:i/>
        </w:rPr>
        <w:t>safe</w:t>
      </w:r>
      <w:r w:rsidR="00F2561A">
        <w:rPr>
          <w:i/>
        </w:rPr>
        <w:t>.</w:t>
      </w:r>
    </w:p>
    <w:p w:rsidR="00C737DD" w:rsidRPr="00F2561A" w:rsidRDefault="00C737DD" w:rsidP="00C737DD">
      <w:pPr>
        <w:pStyle w:val="ListParagraph"/>
        <w:spacing w:after="0" w:line="276" w:lineRule="auto"/>
        <w:jc w:val="both"/>
        <w:rPr>
          <w:b/>
        </w:rPr>
      </w:pPr>
    </w:p>
    <w:p w:rsidR="00934E51" w:rsidRPr="006A55C7" w:rsidRDefault="00934E51" w:rsidP="00C737DD">
      <w:pPr>
        <w:pStyle w:val="ListParagraph"/>
        <w:numPr>
          <w:ilvl w:val="0"/>
          <w:numId w:val="11"/>
        </w:numPr>
        <w:spacing w:after="0" w:line="276" w:lineRule="auto"/>
        <w:jc w:val="both"/>
      </w:pPr>
      <w:r w:rsidRPr="006A55C7">
        <w:t xml:space="preserve">It is the responsibility of Management to contact </w:t>
      </w:r>
      <w:r w:rsidR="00AE5E5D" w:rsidRPr="006A55C7">
        <w:t>external stakeholders utilising the external contact list on page 3</w:t>
      </w:r>
    </w:p>
    <w:p w:rsidR="00C737DD" w:rsidRDefault="00C737DD" w:rsidP="008A4157"/>
    <w:p w:rsidR="00B82A52" w:rsidRDefault="00B82A52" w:rsidP="008A4157"/>
    <w:p w:rsidR="00F2561A" w:rsidRDefault="00C737DD" w:rsidP="00F2561A">
      <w:pPr>
        <w:pStyle w:val="Heading2"/>
      </w:pPr>
      <w:r>
        <w:t>INTERNAL REFERENCES</w:t>
      </w:r>
    </w:p>
    <w:p w:rsidR="00C737DD" w:rsidRPr="00B82A52" w:rsidRDefault="00C737DD" w:rsidP="00B82A52">
      <w:pPr>
        <w:spacing w:after="0"/>
      </w:pPr>
    </w:p>
    <w:p w:rsidR="00B82A52" w:rsidRPr="00B82A52" w:rsidRDefault="00B82A52" w:rsidP="00B82A52">
      <w:r>
        <w:t xml:space="preserve">FIE </w:t>
      </w:r>
      <w:r w:rsidRPr="00B82A52">
        <w:t>En</w:t>
      </w:r>
      <w:r>
        <w:t>vironmental Management Plan (</w:t>
      </w:r>
      <w:r w:rsidR="00F20887">
        <w:t>O</w:t>
      </w:r>
      <w:r>
        <w:t>EMP)</w:t>
      </w:r>
    </w:p>
    <w:p w:rsidR="00B82A52" w:rsidRPr="00B82A52" w:rsidRDefault="00F20887" w:rsidP="00B82A52">
      <w:pPr>
        <w:pStyle w:val="ListParagraph"/>
        <w:numPr>
          <w:ilvl w:val="0"/>
          <w:numId w:val="12"/>
        </w:numPr>
      </w:pPr>
      <w:r>
        <w:t>4.10.2</w:t>
      </w:r>
      <w:r w:rsidR="00B82A52" w:rsidRPr="00B82A52">
        <w:t xml:space="preserve"> Incident and Near Miss Reporting</w:t>
      </w:r>
    </w:p>
    <w:p w:rsidR="00B82A52" w:rsidRPr="00B82A52" w:rsidRDefault="00F20887" w:rsidP="00B82A52">
      <w:pPr>
        <w:pStyle w:val="ListParagraph"/>
        <w:numPr>
          <w:ilvl w:val="0"/>
          <w:numId w:val="12"/>
        </w:numPr>
      </w:pPr>
      <w:r>
        <w:t>Form 3</w:t>
      </w:r>
      <w:r w:rsidR="00B82A52" w:rsidRPr="00B82A52">
        <w:t xml:space="preserve"> Incident Report </w:t>
      </w:r>
    </w:p>
    <w:p w:rsidR="00B82A52" w:rsidRDefault="00B82A52" w:rsidP="00C737DD">
      <w:pPr>
        <w:spacing w:after="0" w:line="276" w:lineRule="auto"/>
        <w:jc w:val="both"/>
      </w:pPr>
    </w:p>
    <w:p w:rsidR="0048274E" w:rsidRDefault="0048274E">
      <w:r>
        <w:br w:type="page"/>
      </w:r>
    </w:p>
    <w:p w:rsidR="00CE322B" w:rsidRDefault="0048274E" w:rsidP="0048274E">
      <w:pPr>
        <w:pStyle w:val="Heading2"/>
      </w:pPr>
      <w:r>
        <w:t>KEY HAZARD IDENTIFICATION</w:t>
      </w:r>
    </w:p>
    <w:p w:rsidR="0048274E" w:rsidRDefault="0048274E" w:rsidP="0048274E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58"/>
      </w:tblGrid>
      <w:tr w:rsidR="0048274E" w:rsidTr="0048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8274E" w:rsidRDefault="0048274E" w:rsidP="0048274E">
            <w:r>
              <w:t>Hazzard</w:t>
            </w:r>
          </w:p>
        </w:tc>
        <w:tc>
          <w:tcPr>
            <w:tcW w:w="3261" w:type="dxa"/>
          </w:tcPr>
          <w:p w:rsidR="0048274E" w:rsidRDefault="0048274E" w:rsidP="00482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2358" w:type="dxa"/>
          </w:tcPr>
          <w:p w:rsidR="0048274E" w:rsidRDefault="0048274E" w:rsidP="004827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</w:tr>
      <w:tr w:rsidR="0048274E" w:rsidTr="0048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8274E" w:rsidRDefault="0048274E" w:rsidP="0048274E">
            <w:r>
              <w:t>Overflow of an evaporation pond</w:t>
            </w:r>
          </w:p>
        </w:tc>
        <w:tc>
          <w:tcPr>
            <w:tcW w:w="3261" w:type="dxa"/>
          </w:tcPr>
          <w:p w:rsidR="0048274E" w:rsidRDefault="0048274E" w:rsidP="003C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samples as per OEMP</w:t>
            </w:r>
          </w:p>
        </w:tc>
        <w:tc>
          <w:tcPr>
            <w:tcW w:w="2358" w:type="dxa"/>
          </w:tcPr>
          <w:p w:rsidR="0048274E" w:rsidRDefault="0048274E" w:rsidP="003C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 Manager</w:t>
            </w:r>
          </w:p>
        </w:tc>
      </w:tr>
      <w:tr w:rsidR="0048274E" w:rsidTr="0048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8274E" w:rsidRDefault="0048274E" w:rsidP="003C23B8">
            <w:r>
              <w:t>Manure truck turn over</w:t>
            </w:r>
          </w:p>
        </w:tc>
        <w:tc>
          <w:tcPr>
            <w:tcW w:w="3261" w:type="dxa"/>
          </w:tcPr>
          <w:p w:rsidR="0048274E" w:rsidRDefault="0048274E" w:rsidP="003C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 area Document as OEMP</w:t>
            </w:r>
          </w:p>
        </w:tc>
        <w:tc>
          <w:tcPr>
            <w:tcW w:w="2358" w:type="dxa"/>
          </w:tcPr>
          <w:p w:rsidR="0048274E" w:rsidRDefault="0048274E" w:rsidP="003C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 Manager</w:t>
            </w:r>
          </w:p>
        </w:tc>
      </w:tr>
      <w:tr w:rsidR="0048274E" w:rsidTr="0048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8274E" w:rsidRDefault="0048274E" w:rsidP="003C23B8">
            <w:r>
              <w:t>Rupture of dam wall</w:t>
            </w:r>
          </w:p>
        </w:tc>
        <w:tc>
          <w:tcPr>
            <w:tcW w:w="3261" w:type="dxa"/>
          </w:tcPr>
          <w:p w:rsidR="0048274E" w:rsidRDefault="0048274E" w:rsidP="003C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sample Contact EPA Hotline</w:t>
            </w:r>
          </w:p>
        </w:tc>
        <w:tc>
          <w:tcPr>
            <w:tcW w:w="2358" w:type="dxa"/>
          </w:tcPr>
          <w:p w:rsidR="0048274E" w:rsidRDefault="0048274E" w:rsidP="003C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 Manager</w:t>
            </w:r>
          </w:p>
        </w:tc>
      </w:tr>
      <w:tr w:rsidR="0048274E" w:rsidTr="0048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8274E" w:rsidRDefault="0048274E" w:rsidP="0048274E">
            <w:r>
              <w:t>Mass death event</w:t>
            </w:r>
          </w:p>
        </w:tc>
        <w:tc>
          <w:tcPr>
            <w:tcW w:w="3261" w:type="dxa"/>
          </w:tcPr>
          <w:p w:rsidR="0048274E" w:rsidRDefault="0048274E" w:rsidP="003C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DPI</w:t>
            </w:r>
          </w:p>
        </w:tc>
        <w:tc>
          <w:tcPr>
            <w:tcW w:w="2358" w:type="dxa"/>
          </w:tcPr>
          <w:p w:rsidR="0048274E" w:rsidRDefault="0048274E" w:rsidP="003C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 Manager</w:t>
            </w:r>
          </w:p>
        </w:tc>
      </w:tr>
    </w:tbl>
    <w:p w:rsidR="0048274E" w:rsidRDefault="0048274E" w:rsidP="0048274E"/>
    <w:p w:rsidR="0048274E" w:rsidRPr="0048274E" w:rsidRDefault="0048274E" w:rsidP="0048274E">
      <w:pPr>
        <w:rPr>
          <w:b/>
          <w:color w:val="000000" w:themeColor="text1"/>
        </w:rPr>
      </w:pPr>
      <w:r w:rsidRPr="0048274E">
        <w:rPr>
          <w:b/>
          <w:color w:val="000000" w:themeColor="text1"/>
        </w:rPr>
        <w:t xml:space="preserve">If unable to </w:t>
      </w:r>
      <w:r w:rsidRPr="00F20887">
        <w:rPr>
          <w:b/>
          <w:color w:val="000000" w:themeColor="text1"/>
        </w:rPr>
        <w:t>contact Livestock Manager call Farming Manager</w:t>
      </w:r>
      <w:r w:rsidRPr="0048274E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</w:p>
    <w:p w:rsidR="0048274E" w:rsidRPr="0048274E" w:rsidRDefault="0048274E" w:rsidP="0048274E">
      <w:pPr>
        <w:rPr>
          <w:b/>
          <w:color w:val="000000" w:themeColor="text1"/>
        </w:rPr>
      </w:pPr>
      <w:r w:rsidRPr="0048274E">
        <w:rPr>
          <w:b/>
          <w:color w:val="000000" w:themeColor="text1"/>
        </w:rPr>
        <w:t>If unable to contact the above call FIE G</w:t>
      </w:r>
      <w:r>
        <w:rPr>
          <w:b/>
          <w:color w:val="000000" w:themeColor="text1"/>
        </w:rPr>
        <w:t xml:space="preserve">eneral </w:t>
      </w:r>
      <w:r w:rsidRPr="0048274E">
        <w:rPr>
          <w:b/>
          <w:color w:val="000000" w:themeColor="text1"/>
        </w:rPr>
        <w:t>M</w:t>
      </w:r>
      <w:r>
        <w:rPr>
          <w:b/>
          <w:color w:val="000000" w:themeColor="text1"/>
        </w:rPr>
        <w:t>anager</w:t>
      </w:r>
    </w:p>
    <w:p w:rsidR="0048274E" w:rsidRDefault="0048274E" w:rsidP="0048274E">
      <w:pPr>
        <w:rPr>
          <w:color w:val="FF0000"/>
        </w:rPr>
      </w:pPr>
    </w:p>
    <w:p w:rsidR="0048274E" w:rsidRPr="002F5894" w:rsidRDefault="0048274E" w:rsidP="0048274E">
      <w:pPr>
        <w:pStyle w:val="Heading2"/>
      </w:pPr>
      <w:r>
        <w:t xml:space="preserve">CONTACT LIST </w:t>
      </w:r>
    </w:p>
    <w:p w:rsidR="0048274E" w:rsidRDefault="0048274E" w:rsidP="0048274E"/>
    <w:p w:rsidR="0048274E" w:rsidRPr="0048274E" w:rsidRDefault="0048274E" w:rsidP="0048274E">
      <w:pPr>
        <w:rPr>
          <w:b/>
        </w:rPr>
      </w:pPr>
      <w:r w:rsidRPr="0048274E">
        <w:rPr>
          <w:b/>
        </w:rPr>
        <w:t>Internal Contacts</w:t>
      </w:r>
    </w:p>
    <w:p w:rsidR="0048274E" w:rsidRDefault="0048274E" w:rsidP="0048274E">
      <w:r>
        <w:t>Feedlot Livestock Manager</w:t>
      </w:r>
      <w:r>
        <w:tab/>
        <w:t>0418 634 320</w:t>
      </w:r>
    </w:p>
    <w:p w:rsidR="0048274E" w:rsidRDefault="0048274E" w:rsidP="0048274E">
      <w:r>
        <w:t>Farming Manager</w:t>
      </w:r>
      <w:r>
        <w:tab/>
      </w:r>
      <w:r>
        <w:tab/>
        <w:t>0429 952 215</w:t>
      </w:r>
    </w:p>
    <w:p w:rsidR="0048274E" w:rsidRDefault="0048274E" w:rsidP="0048274E">
      <w:r>
        <w:t>FIE General Manager</w:t>
      </w:r>
      <w:r>
        <w:tab/>
      </w:r>
      <w:r>
        <w:tab/>
        <w:t>0419 010 384</w:t>
      </w:r>
    </w:p>
    <w:p w:rsidR="0048274E" w:rsidRDefault="0048274E" w:rsidP="0048274E"/>
    <w:p w:rsidR="0048274E" w:rsidRPr="0048274E" w:rsidRDefault="0048274E" w:rsidP="0048274E">
      <w:pPr>
        <w:rPr>
          <w:b/>
        </w:rPr>
      </w:pPr>
      <w:r w:rsidRPr="0048274E">
        <w:rPr>
          <w:b/>
        </w:rPr>
        <w:t xml:space="preserve">External Contacts </w:t>
      </w:r>
    </w:p>
    <w:p w:rsidR="0048274E" w:rsidRDefault="005D092E" w:rsidP="0048274E">
      <w:r>
        <w:t>EPA Hotline Self Repot</w:t>
      </w:r>
      <w:r>
        <w:tab/>
      </w:r>
      <w:r>
        <w:tab/>
        <w:t>13</w:t>
      </w:r>
      <w:r w:rsidR="0048274E">
        <w:t>1 555</w:t>
      </w:r>
    </w:p>
    <w:p w:rsidR="0048274E" w:rsidRDefault="0048274E" w:rsidP="0048274E">
      <w:r>
        <w:t xml:space="preserve">EPA Hotline </w:t>
      </w:r>
      <w:r>
        <w:tab/>
      </w:r>
      <w:r>
        <w:tab/>
      </w:r>
      <w:r>
        <w:tab/>
        <w:t>02 9995 5000</w:t>
      </w:r>
    </w:p>
    <w:p w:rsidR="0048274E" w:rsidRDefault="0048274E" w:rsidP="0048274E">
      <w:r>
        <w:t>EPA Bathurst</w:t>
      </w:r>
      <w:r>
        <w:tab/>
      </w:r>
      <w:r>
        <w:tab/>
      </w:r>
      <w:r>
        <w:tab/>
        <w:t>02 6333 3821</w:t>
      </w:r>
    </w:p>
    <w:p w:rsidR="0048274E" w:rsidRDefault="0048274E" w:rsidP="0048274E">
      <w:r>
        <w:t>DPI</w:t>
      </w:r>
      <w:r>
        <w:tab/>
      </w:r>
      <w:r>
        <w:tab/>
      </w:r>
      <w:r>
        <w:tab/>
      </w:r>
      <w:r>
        <w:tab/>
        <w:t>1800  675 888</w:t>
      </w:r>
    </w:p>
    <w:p w:rsidR="0048274E" w:rsidRDefault="0048274E" w:rsidP="0048274E">
      <w:r>
        <w:t>Vet</w:t>
      </w:r>
      <w:r>
        <w:tab/>
      </w:r>
      <w:r>
        <w:tab/>
      </w:r>
      <w:r>
        <w:tab/>
      </w:r>
      <w:r>
        <w:tab/>
        <w:t>0499 865 120</w:t>
      </w:r>
    </w:p>
    <w:p w:rsidR="0048274E" w:rsidRDefault="0048274E" w:rsidP="0048274E">
      <w:r>
        <w:t>Local Council</w:t>
      </w:r>
      <w:r>
        <w:tab/>
      </w:r>
      <w:r>
        <w:tab/>
      </w:r>
      <w:r>
        <w:tab/>
        <w:t>02 6895 1900</w:t>
      </w:r>
    </w:p>
    <w:p w:rsidR="0048274E" w:rsidRPr="0048274E" w:rsidRDefault="0048274E" w:rsidP="0048274E"/>
    <w:sectPr w:rsidR="0048274E" w:rsidRPr="0048274E" w:rsidSect="00934E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FB" w:rsidRDefault="00B04DFB" w:rsidP="00934E51">
      <w:pPr>
        <w:spacing w:after="0" w:line="240" w:lineRule="auto"/>
      </w:pPr>
      <w:r>
        <w:separator/>
      </w:r>
    </w:p>
  </w:endnote>
  <w:endnote w:type="continuationSeparator" w:id="0">
    <w:p w:rsidR="00B04DFB" w:rsidRDefault="00B04DFB" w:rsidP="009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7"/>
      <w:gridCol w:w="1568"/>
      <w:gridCol w:w="2051"/>
      <w:gridCol w:w="2051"/>
      <w:gridCol w:w="2051"/>
      <w:gridCol w:w="2052"/>
    </w:tblGrid>
    <w:tr w:rsidR="00934E51" w:rsidTr="00934E51">
      <w:trPr>
        <w:trHeight w:val="340"/>
      </w:trPr>
      <w:tc>
        <w:tcPr>
          <w:tcW w:w="3135" w:type="dxa"/>
          <w:gridSpan w:val="2"/>
          <w:vAlign w:val="center"/>
        </w:tcPr>
        <w:p w:rsidR="00934E51" w:rsidRDefault="00934E51" w:rsidP="00934E51">
          <w:pPr>
            <w:pStyle w:val="Footer"/>
            <w:jc w:val="center"/>
          </w:pPr>
          <w:r>
            <w:t>SOP-022</w:t>
          </w:r>
        </w:p>
      </w:tc>
      <w:tc>
        <w:tcPr>
          <w:tcW w:w="6153" w:type="dxa"/>
          <w:gridSpan w:val="3"/>
          <w:shd w:val="clear" w:color="auto" w:fill="auto"/>
          <w:vAlign w:val="center"/>
        </w:tcPr>
        <w:p w:rsidR="00934E51" w:rsidRDefault="00934E51" w:rsidP="00934E51">
          <w:pPr>
            <w:spacing w:after="0"/>
            <w:jc w:val="center"/>
          </w:pPr>
          <w:r>
            <w:t>Planning for Emergencies</w:t>
          </w:r>
        </w:p>
      </w:tc>
      <w:tc>
        <w:tcPr>
          <w:tcW w:w="2052" w:type="dxa"/>
          <w:shd w:val="clear" w:color="auto" w:fill="auto"/>
          <w:vAlign w:val="center"/>
        </w:tcPr>
        <w:p w:rsidR="00934E51" w:rsidRDefault="00934E51" w:rsidP="00934E51">
          <w:pPr>
            <w:spacing w:after="0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30A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3A30A8">
              <w:rPr>
                <w:noProof/>
              </w:rPr>
              <w:t>3</w:t>
            </w:r>
          </w:fldSimple>
        </w:p>
      </w:tc>
    </w:tr>
    <w:tr w:rsidR="00934E51" w:rsidTr="00934E51">
      <w:trPr>
        <w:trHeight w:val="340"/>
      </w:trPr>
      <w:tc>
        <w:tcPr>
          <w:tcW w:w="1567" w:type="dxa"/>
          <w:vAlign w:val="center"/>
        </w:tcPr>
        <w:p w:rsidR="00934E51" w:rsidRDefault="00934E51" w:rsidP="00934E51">
          <w:pPr>
            <w:pStyle w:val="Footer"/>
            <w:jc w:val="center"/>
          </w:pPr>
          <w:r>
            <w:t>Version No.:</w:t>
          </w:r>
        </w:p>
      </w:tc>
      <w:tc>
        <w:tcPr>
          <w:tcW w:w="1568" w:type="dxa"/>
          <w:vAlign w:val="center"/>
        </w:tcPr>
        <w:p w:rsidR="00934E51" w:rsidRDefault="00934E51" w:rsidP="00934E51">
          <w:pPr>
            <w:pStyle w:val="Footer"/>
            <w:jc w:val="center"/>
          </w:pPr>
          <w:r>
            <w:t>1</w:t>
          </w:r>
        </w:p>
      </w:tc>
      <w:tc>
        <w:tcPr>
          <w:tcW w:w="2051" w:type="dxa"/>
          <w:shd w:val="clear" w:color="auto" w:fill="auto"/>
          <w:vAlign w:val="center"/>
        </w:tcPr>
        <w:p w:rsidR="00934E51" w:rsidRPr="00A84756" w:rsidRDefault="00934E51" w:rsidP="00934E51">
          <w:pPr>
            <w:spacing w:after="0"/>
            <w:jc w:val="center"/>
          </w:pPr>
          <w:r>
            <w:t>Issue Date:</w:t>
          </w:r>
        </w:p>
      </w:tc>
      <w:tc>
        <w:tcPr>
          <w:tcW w:w="2051" w:type="dxa"/>
          <w:shd w:val="clear" w:color="auto" w:fill="auto"/>
          <w:vAlign w:val="center"/>
        </w:tcPr>
        <w:p w:rsidR="00934E51" w:rsidRPr="00A84756" w:rsidRDefault="00C9634C" w:rsidP="00934E51">
          <w:pPr>
            <w:spacing w:after="0"/>
            <w:jc w:val="center"/>
          </w:pPr>
          <w:r>
            <w:t>02-02-2022</w:t>
          </w:r>
        </w:p>
      </w:tc>
      <w:tc>
        <w:tcPr>
          <w:tcW w:w="2051" w:type="dxa"/>
          <w:shd w:val="clear" w:color="auto" w:fill="auto"/>
          <w:vAlign w:val="center"/>
        </w:tcPr>
        <w:p w:rsidR="00934E51" w:rsidRDefault="00934E51" w:rsidP="00934E51">
          <w:pPr>
            <w:spacing w:after="0"/>
            <w:jc w:val="center"/>
          </w:pPr>
          <w:r>
            <w:t>Review Date:</w:t>
          </w:r>
        </w:p>
      </w:tc>
      <w:tc>
        <w:tcPr>
          <w:tcW w:w="2052" w:type="dxa"/>
          <w:shd w:val="clear" w:color="auto" w:fill="auto"/>
          <w:vAlign w:val="center"/>
        </w:tcPr>
        <w:p w:rsidR="00934E51" w:rsidRDefault="00C9634C" w:rsidP="00934E51">
          <w:pPr>
            <w:spacing w:after="0"/>
            <w:jc w:val="center"/>
          </w:pPr>
          <w:r>
            <w:t>02-02-2023</w:t>
          </w:r>
        </w:p>
      </w:tc>
    </w:tr>
    <w:tr w:rsidR="00934E51" w:rsidTr="00934E51">
      <w:trPr>
        <w:trHeight w:val="340"/>
      </w:trPr>
      <w:tc>
        <w:tcPr>
          <w:tcW w:w="11340" w:type="dxa"/>
          <w:gridSpan w:val="6"/>
          <w:vAlign w:val="center"/>
        </w:tcPr>
        <w:p w:rsidR="00934E51" w:rsidRDefault="00934E51" w:rsidP="00934E51">
          <w:pPr>
            <w:pStyle w:val="Footer"/>
            <w:jc w:val="center"/>
          </w:pPr>
          <w:r>
            <w:t>This document is approved and controlled whilst on the FIE intranet. Printed copies are for information only.</w:t>
          </w:r>
        </w:p>
      </w:tc>
    </w:tr>
  </w:tbl>
  <w:p w:rsidR="00934E51" w:rsidRDefault="00934E51" w:rsidP="0093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FB" w:rsidRDefault="00B04DFB" w:rsidP="00934E51">
      <w:pPr>
        <w:spacing w:after="0" w:line="240" w:lineRule="auto"/>
      </w:pPr>
      <w:r>
        <w:separator/>
      </w:r>
    </w:p>
  </w:footnote>
  <w:footnote w:type="continuationSeparator" w:id="0">
    <w:p w:rsidR="00B04DFB" w:rsidRDefault="00B04DFB" w:rsidP="0093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1A" w:rsidRDefault="00B04DF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4876" o:spid="_x0000_s2050" type="#_x0000_t75" style="position:absolute;margin-left:0;margin-top:0;width:451.05pt;height:268.5pt;z-index:-251657216;mso-position-horizontal:center;mso-position-horizontal-relative:margin;mso-position-vertical:center;mso-position-vertical-relative:margin" o:allowincell="f">
          <v:imagedata r:id="rId1" o:title="Fletcher-logo-for-website-31b7clcp4dulhbtovgjlk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56"/>
      <w:gridCol w:w="4677"/>
      <w:gridCol w:w="3407"/>
    </w:tblGrid>
    <w:tr w:rsidR="00934E51" w:rsidTr="00934E51">
      <w:trPr>
        <w:trHeight w:val="340"/>
        <w:jc w:val="center"/>
      </w:trPr>
      <w:tc>
        <w:tcPr>
          <w:tcW w:w="3256" w:type="dxa"/>
          <w:vAlign w:val="center"/>
        </w:tcPr>
        <w:p w:rsidR="00934E51" w:rsidRDefault="00934E51" w:rsidP="00934E51">
          <w:pPr>
            <w:pStyle w:val="Header"/>
            <w:jc w:val="center"/>
          </w:pPr>
          <w:r>
            <w:t>Fletcher International Exports</w:t>
          </w:r>
        </w:p>
      </w:tc>
      <w:tc>
        <w:tcPr>
          <w:tcW w:w="4677" w:type="dxa"/>
          <w:shd w:val="clear" w:color="auto" w:fill="auto"/>
          <w:vAlign w:val="center"/>
        </w:tcPr>
        <w:p w:rsidR="00934E51" w:rsidRDefault="00934E51" w:rsidP="00934E51">
          <w:pPr>
            <w:spacing w:after="0"/>
            <w:jc w:val="center"/>
          </w:pPr>
          <w:r>
            <w:t>Work Health &amp; Safety Management System</w:t>
          </w:r>
        </w:p>
      </w:tc>
      <w:tc>
        <w:tcPr>
          <w:tcW w:w="3407" w:type="dxa"/>
          <w:shd w:val="clear" w:color="auto" w:fill="auto"/>
          <w:vAlign w:val="center"/>
        </w:tcPr>
        <w:p w:rsidR="00934E51" w:rsidRDefault="00934E51" w:rsidP="00934E51">
          <w:pPr>
            <w:spacing w:after="0"/>
            <w:jc w:val="center"/>
          </w:pPr>
          <w:r>
            <w:t>SOP-022 Planning for Emergencies</w:t>
          </w:r>
        </w:p>
      </w:tc>
    </w:tr>
  </w:tbl>
  <w:p w:rsidR="00934E51" w:rsidRDefault="00B04DF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4877" o:spid="_x0000_s2051" type="#_x0000_t75" style="position:absolute;margin-left:0;margin-top:0;width:451.05pt;height:268.5pt;z-index:-251656192;mso-position-horizontal:center;mso-position-horizontal-relative:margin;mso-position-vertical:center;mso-position-vertical-relative:margin" o:allowincell="f">
          <v:imagedata r:id="rId1" o:title="Fletcher-logo-for-website-31b7clcp4dulhbtovgjlkw" gain="19661f" blacklevel="22938f"/>
          <w10:wrap anchorx="margin" anchory="margin"/>
        </v:shape>
      </w:pict>
    </w:r>
  </w:p>
  <w:p w:rsidR="00934E51" w:rsidRDefault="00934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1A" w:rsidRDefault="00B04DF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4875" o:spid="_x0000_s2049" type="#_x0000_t75" style="position:absolute;margin-left:0;margin-top:0;width:451.05pt;height:268.5pt;z-index:-251658240;mso-position-horizontal:center;mso-position-horizontal-relative:margin;mso-position-vertical:center;mso-position-vertical-relative:margin" o:allowincell="f">
          <v:imagedata r:id="rId1" o:title="Fletcher-logo-for-website-31b7clcp4dulhbtovgjlk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66A"/>
    <w:multiLevelType w:val="hybridMultilevel"/>
    <w:tmpl w:val="641E4A7E"/>
    <w:lvl w:ilvl="0" w:tplc="DA10593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AF3"/>
    <w:multiLevelType w:val="hybridMultilevel"/>
    <w:tmpl w:val="18141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5CB5"/>
    <w:multiLevelType w:val="hybridMultilevel"/>
    <w:tmpl w:val="A350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AEA"/>
    <w:multiLevelType w:val="hybridMultilevel"/>
    <w:tmpl w:val="52CE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F7C"/>
    <w:multiLevelType w:val="hybridMultilevel"/>
    <w:tmpl w:val="FCAC1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689"/>
    <w:multiLevelType w:val="hybridMultilevel"/>
    <w:tmpl w:val="AF36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B1A5F"/>
    <w:multiLevelType w:val="hybridMultilevel"/>
    <w:tmpl w:val="30163FDA"/>
    <w:lvl w:ilvl="0" w:tplc="E62E308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D57AB"/>
    <w:multiLevelType w:val="hybridMultilevel"/>
    <w:tmpl w:val="F2AE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BA2"/>
    <w:multiLevelType w:val="hybridMultilevel"/>
    <w:tmpl w:val="C770C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3E99"/>
    <w:multiLevelType w:val="hybridMultilevel"/>
    <w:tmpl w:val="4A9E0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3691"/>
    <w:multiLevelType w:val="hybridMultilevel"/>
    <w:tmpl w:val="8DB6E4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4D5870"/>
    <w:multiLevelType w:val="hybridMultilevel"/>
    <w:tmpl w:val="047A2F7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B"/>
    <w:rsid w:val="000834B4"/>
    <w:rsid w:val="00097026"/>
    <w:rsid w:val="002C4931"/>
    <w:rsid w:val="00322B61"/>
    <w:rsid w:val="00332153"/>
    <w:rsid w:val="003A30A8"/>
    <w:rsid w:val="0048274E"/>
    <w:rsid w:val="004B1D3D"/>
    <w:rsid w:val="004D168D"/>
    <w:rsid w:val="005D092E"/>
    <w:rsid w:val="00653F0C"/>
    <w:rsid w:val="006A1DB5"/>
    <w:rsid w:val="006A55C7"/>
    <w:rsid w:val="00783F2B"/>
    <w:rsid w:val="007B2D86"/>
    <w:rsid w:val="007F6D34"/>
    <w:rsid w:val="0080223D"/>
    <w:rsid w:val="008A4157"/>
    <w:rsid w:val="008C1082"/>
    <w:rsid w:val="008E1E7F"/>
    <w:rsid w:val="00916713"/>
    <w:rsid w:val="00934E51"/>
    <w:rsid w:val="00946007"/>
    <w:rsid w:val="009573CB"/>
    <w:rsid w:val="00AE5E5D"/>
    <w:rsid w:val="00AF2030"/>
    <w:rsid w:val="00B04DFB"/>
    <w:rsid w:val="00B82A52"/>
    <w:rsid w:val="00C352DF"/>
    <w:rsid w:val="00C737DD"/>
    <w:rsid w:val="00C9634C"/>
    <w:rsid w:val="00CE322B"/>
    <w:rsid w:val="00D90DFD"/>
    <w:rsid w:val="00DA7DC6"/>
    <w:rsid w:val="00F20887"/>
    <w:rsid w:val="00F2561A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EA3D1B"/>
  <w15:chartTrackingRefBased/>
  <w15:docId w15:val="{A4477DDC-8FF2-437F-B6A3-53DB806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C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1"/>
  </w:style>
  <w:style w:type="paragraph" w:styleId="Footer">
    <w:name w:val="footer"/>
    <w:basedOn w:val="Normal"/>
    <w:link w:val="FooterChar"/>
    <w:unhideWhenUsed/>
    <w:rsid w:val="0093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1"/>
  </w:style>
  <w:style w:type="table" w:styleId="TableGrid">
    <w:name w:val="Table Grid"/>
    <w:basedOn w:val="TableNormal"/>
    <w:uiPriority w:val="39"/>
    <w:rsid w:val="0093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25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561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25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25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6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61A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256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4-Accent5">
    <w:name w:val="Grid Table 4 Accent 5"/>
    <w:basedOn w:val="TableNormal"/>
    <w:uiPriority w:val="49"/>
    <w:rsid w:val="004827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A004-9443-4830-B0CB-40EA005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Farron Fletcher</cp:lastModifiedBy>
  <cp:revision>4</cp:revision>
  <cp:lastPrinted>2021-09-09T22:55:00Z</cp:lastPrinted>
  <dcterms:created xsi:type="dcterms:W3CDTF">2021-09-14T02:24:00Z</dcterms:created>
  <dcterms:modified xsi:type="dcterms:W3CDTF">2023-09-21T02:29:00Z</dcterms:modified>
</cp:coreProperties>
</file>